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564" w:rsidRPr="007427B1" w:rsidRDefault="009B5564" w:rsidP="009B5564">
      <w:pPr>
        <w:pStyle w:val="Bodytext20"/>
        <w:shd w:val="clear" w:color="auto" w:fill="auto"/>
        <w:spacing w:after="0"/>
        <w:ind w:right="60"/>
        <w:rPr>
          <w:rFonts w:ascii="Arial Black" w:hAnsi="Arial Black" w:cs="Arial"/>
          <w:b/>
          <w:sz w:val="28"/>
          <w:szCs w:val="28"/>
        </w:rPr>
      </w:pPr>
      <w:r w:rsidRPr="007427B1">
        <w:rPr>
          <w:rFonts w:ascii="Arial Black" w:hAnsi="Arial Black" w:cs="Arial"/>
          <w:b/>
          <w:sz w:val="28"/>
          <w:szCs w:val="28"/>
        </w:rPr>
        <w:t xml:space="preserve">ΑΙΤΗΣΗ - ΥΠΟΜΝΗΜΑ </w:t>
      </w:r>
    </w:p>
    <w:p w:rsidR="009B5564" w:rsidRPr="00765C64" w:rsidRDefault="009B5564" w:rsidP="009B5564">
      <w:pPr>
        <w:pStyle w:val="Bodytext20"/>
        <w:shd w:val="clear" w:color="auto" w:fill="auto"/>
        <w:spacing w:after="0"/>
        <w:ind w:right="60"/>
        <w:rPr>
          <w:rFonts w:ascii="Arial Black" w:hAnsi="Arial Black" w:cs="Arial"/>
          <w:b/>
          <w:sz w:val="28"/>
          <w:szCs w:val="28"/>
        </w:rPr>
      </w:pPr>
      <w:r w:rsidRPr="007427B1">
        <w:rPr>
          <w:rFonts w:ascii="Arial Black" w:hAnsi="Arial Black" w:cs="Arial"/>
          <w:b/>
          <w:sz w:val="28"/>
          <w:szCs w:val="28"/>
        </w:rPr>
        <w:t>ΥΠΑΓΩΓΗΣ ΤΟΥ ΤΑΠΙΛΤ-ΑΤ ΣΤΟ ΕΤΕΑ</w:t>
      </w:r>
      <w:r>
        <w:rPr>
          <w:rFonts w:ascii="Arial Black" w:hAnsi="Arial Black" w:cs="Arial"/>
          <w:b/>
          <w:sz w:val="28"/>
          <w:szCs w:val="28"/>
        </w:rPr>
        <w:t>ΕΠ</w:t>
      </w:r>
    </w:p>
    <w:p w:rsidR="009B5564" w:rsidRPr="00864203" w:rsidRDefault="009B5564" w:rsidP="009B5564"/>
    <w:p w:rsidR="009B5564" w:rsidRPr="00864203" w:rsidRDefault="009B5564" w:rsidP="009B5564"/>
    <w:p w:rsidR="009B5564" w:rsidRPr="007427B1" w:rsidRDefault="009B5564" w:rsidP="009B5564">
      <w:pPr>
        <w:rPr>
          <w:rFonts w:ascii="Arial" w:hAnsi="Arial" w:cs="Arial"/>
          <w:sz w:val="24"/>
          <w:szCs w:val="24"/>
        </w:rPr>
      </w:pPr>
      <w:r w:rsidRPr="007427B1">
        <w:rPr>
          <w:rFonts w:ascii="Arial" w:hAnsi="Arial" w:cs="Arial"/>
          <w:sz w:val="24"/>
          <w:szCs w:val="24"/>
        </w:rPr>
        <w:t>Όνομα: .………………………………………………</w:t>
      </w:r>
    </w:p>
    <w:p w:rsidR="009B5564" w:rsidRPr="007427B1" w:rsidRDefault="009B5564" w:rsidP="009B5564">
      <w:pPr>
        <w:rPr>
          <w:rFonts w:ascii="Arial" w:hAnsi="Arial" w:cs="Arial"/>
          <w:sz w:val="24"/>
          <w:szCs w:val="24"/>
        </w:rPr>
      </w:pPr>
      <w:r w:rsidRPr="007427B1">
        <w:rPr>
          <w:rFonts w:ascii="Arial" w:hAnsi="Arial" w:cs="Arial"/>
          <w:sz w:val="24"/>
          <w:szCs w:val="24"/>
        </w:rPr>
        <w:t>Επώνυμο: …………………………………………</w:t>
      </w:r>
      <w:r>
        <w:rPr>
          <w:rFonts w:ascii="Arial" w:hAnsi="Arial" w:cs="Arial"/>
          <w:sz w:val="24"/>
          <w:szCs w:val="24"/>
        </w:rPr>
        <w:t>...</w:t>
      </w:r>
    </w:p>
    <w:p w:rsidR="009B5564" w:rsidRPr="007427B1" w:rsidRDefault="009B5564" w:rsidP="009B5564">
      <w:pPr>
        <w:rPr>
          <w:rFonts w:ascii="Arial" w:hAnsi="Arial" w:cs="Arial"/>
          <w:sz w:val="24"/>
          <w:szCs w:val="24"/>
        </w:rPr>
      </w:pPr>
      <w:r w:rsidRPr="007427B1">
        <w:rPr>
          <w:rFonts w:ascii="Arial" w:hAnsi="Arial" w:cs="Arial"/>
          <w:sz w:val="24"/>
          <w:szCs w:val="24"/>
        </w:rPr>
        <w:t>Όνομα Πατρός: ……………………………………</w:t>
      </w:r>
      <w:r>
        <w:rPr>
          <w:rFonts w:ascii="Arial" w:hAnsi="Arial" w:cs="Arial"/>
          <w:sz w:val="24"/>
          <w:szCs w:val="24"/>
        </w:rPr>
        <w:t>.</w:t>
      </w:r>
    </w:p>
    <w:p w:rsidR="009B5564" w:rsidRPr="007427B1" w:rsidRDefault="00F112E9" w:rsidP="009B556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l-GR"/>
        </w:rPr>
        <w:pict>
          <v:rect id="Rectangle 2" o:spid="_x0000_s1029" style="position:absolute;margin-left:150pt;margin-top:23.4pt;width:23.25pt;height:16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" fillcolor="window" strokecolor="windowText" strokeweight="2pt"/>
        </w:pict>
      </w:r>
      <w:r>
        <w:rPr>
          <w:rFonts w:ascii="Arial" w:hAnsi="Arial" w:cs="Arial"/>
          <w:noProof/>
          <w:sz w:val="24"/>
          <w:szCs w:val="24"/>
          <w:lang w:eastAsia="el-GR"/>
        </w:rPr>
        <w:pict>
          <v:rect id="Rectangle 1" o:spid="_x0000_s1028" style="position:absolute;margin-left:222pt;margin-top:.15pt;width:23.25pt;height:1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" fillcolor="white [3201]" strokecolor="black [3213]" strokeweight="2pt"/>
        </w:pict>
      </w:r>
      <w:r w:rsidR="009B5564" w:rsidRPr="007427B1">
        <w:rPr>
          <w:rFonts w:ascii="Arial" w:hAnsi="Arial" w:cs="Arial"/>
          <w:sz w:val="24"/>
          <w:szCs w:val="24"/>
        </w:rPr>
        <w:t xml:space="preserve">Εν Ενεργεία ασφαλισμένος ΤΑΠΙΛΤ-ΑΤ </w:t>
      </w:r>
    </w:p>
    <w:p w:rsidR="009B5564" w:rsidRPr="007427B1" w:rsidRDefault="009B5564" w:rsidP="009B5564">
      <w:pPr>
        <w:rPr>
          <w:rFonts w:ascii="Arial" w:hAnsi="Arial" w:cs="Arial"/>
          <w:sz w:val="24"/>
          <w:szCs w:val="24"/>
        </w:rPr>
      </w:pPr>
      <w:r w:rsidRPr="007427B1">
        <w:rPr>
          <w:rFonts w:ascii="Arial" w:hAnsi="Arial" w:cs="Arial"/>
          <w:sz w:val="24"/>
          <w:szCs w:val="24"/>
        </w:rPr>
        <w:t xml:space="preserve">Συνταξιούχος ΤΑΠΙΛΤ-ΑΤ </w:t>
      </w:r>
    </w:p>
    <w:p w:rsidR="009B5564" w:rsidRPr="007427B1" w:rsidRDefault="009B5564" w:rsidP="009B5564">
      <w:pPr>
        <w:rPr>
          <w:rFonts w:ascii="Arial" w:hAnsi="Arial" w:cs="Arial"/>
          <w:sz w:val="24"/>
          <w:szCs w:val="24"/>
        </w:rPr>
      </w:pPr>
      <w:r w:rsidRPr="007427B1">
        <w:rPr>
          <w:rFonts w:ascii="Arial" w:hAnsi="Arial" w:cs="Arial"/>
          <w:sz w:val="24"/>
          <w:szCs w:val="24"/>
        </w:rPr>
        <w:t>Τράπεζα: ……………………………………………</w:t>
      </w:r>
    </w:p>
    <w:p w:rsidR="009B5564" w:rsidRPr="007427B1" w:rsidRDefault="009B5564" w:rsidP="009B5564">
      <w:pPr>
        <w:rPr>
          <w:rFonts w:ascii="Arial" w:hAnsi="Arial" w:cs="Arial"/>
          <w:sz w:val="24"/>
          <w:szCs w:val="24"/>
        </w:rPr>
      </w:pPr>
      <w:r w:rsidRPr="007427B1">
        <w:rPr>
          <w:rFonts w:ascii="Arial" w:hAnsi="Arial" w:cs="Arial"/>
          <w:sz w:val="24"/>
          <w:szCs w:val="24"/>
        </w:rPr>
        <w:t>Διεύθυνση: …………………………………………</w:t>
      </w:r>
      <w:r>
        <w:rPr>
          <w:rFonts w:ascii="Arial" w:hAnsi="Arial" w:cs="Arial"/>
          <w:sz w:val="24"/>
          <w:szCs w:val="24"/>
        </w:rPr>
        <w:t>.</w:t>
      </w:r>
    </w:p>
    <w:p w:rsidR="009B5564" w:rsidRPr="007427B1" w:rsidRDefault="009B5564" w:rsidP="009B5564">
      <w:pPr>
        <w:rPr>
          <w:rFonts w:ascii="Arial" w:hAnsi="Arial" w:cs="Arial"/>
          <w:sz w:val="24"/>
          <w:szCs w:val="24"/>
        </w:rPr>
      </w:pPr>
      <w:r w:rsidRPr="007427B1">
        <w:rPr>
          <w:rFonts w:ascii="Arial" w:hAnsi="Arial" w:cs="Arial"/>
          <w:sz w:val="24"/>
          <w:szCs w:val="24"/>
        </w:rPr>
        <w:t>Τ.Κ.: …………………………………………………</w:t>
      </w:r>
    </w:p>
    <w:p w:rsidR="009B5564" w:rsidRPr="007427B1" w:rsidRDefault="009B5564" w:rsidP="009B5564">
      <w:pPr>
        <w:rPr>
          <w:rFonts w:ascii="Arial" w:hAnsi="Arial" w:cs="Arial"/>
          <w:sz w:val="24"/>
          <w:szCs w:val="24"/>
        </w:rPr>
      </w:pPr>
      <w:r w:rsidRPr="007427B1">
        <w:rPr>
          <w:rFonts w:ascii="Arial" w:hAnsi="Arial" w:cs="Arial"/>
          <w:sz w:val="24"/>
          <w:szCs w:val="24"/>
        </w:rPr>
        <w:t>Τηλέφωνο σταθερό: ……………………………</w:t>
      </w:r>
      <w:r>
        <w:rPr>
          <w:rFonts w:ascii="Arial" w:hAnsi="Arial" w:cs="Arial"/>
          <w:sz w:val="24"/>
          <w:szCs w:val="24"/>
        </w:rPr>
        <w:t>…</w:t>
      </w:r>
    </w:p>
    <w:p w:rsidR="009B5564" w:rsidRPr="007427B1" w:rsidRDefault="009B5564" w:rsidP="009B5564">
      <w:pPr>
        <w:rPr>
          <w:rFonts w:ascii="Arial" w:hAnsi="Arial" w:cs="Arial"/>
          <w:sz w:val="24"/>
          <w:szCs w:val="24"/>
        </w:rPr>
      </w:pPr>
      <w:r w:rsidRPr="007427B1">
        <w:rPr>
          <w:rFonts w:ascii="Arial" w:hAnsi="Arial" w:cs="Arial"/>
          <w:sz w:val="24"/>
          <w:szCs w:val="24"/>
        </w:rPr>
        <w:t xml:space="preserve"> Κινητό: ……………………………</w:t>
      </w:r>
      <w:r>
        <w:rPr>
          <w:rFonts w:ascii="Arial" w:hAnsi="Arial" w:cs="Arial"/>
          <w:sz w:val="24"/>
          <w:szCs w:val="24"/>
        </w:rPr>
        <w:t>....</w:t>
      </w:r>
    </w:p>
    <w:p w:rsidR="009B5564" w:rsidRDefault="009B5564" w:rsidP="009B5564">
      <w:proofErr w:type="gramStart"/>
      <w:r w:rsidRPr="007427B1">
        <w:rPr>
          <w:rFonts w:ascii="Arial" w:hAnsi="Arial" w:cs="Arial"/>
          <w:sz w:val="24"/>
          <w:szCs w:val="24"/>
          <w:lang w:val="en-US"/>
        </w:rPr>
        <w:t>e</w:t>
      </w:r>
      <w:r w:rsidRPr="007427B1">
        <w:rPr>
          <w:rFonts w:ascii="Arial" w:hAnsi="Arial" w:cs="Arial"/>
          <w:sz w:val="24"/>
          <w:szCs w:val="24"/>
        </w:rPr>
        <w:t>-</w:t>
      </w:r>
      <w:r w:rsidRPr="007427B1">
        <w:rPr>
          <w:rFonts w:ascii="Arial" w:hAnsi="Arial" w:cs="Arial"/>
          <w:sz w:val="24"/>
          <w:szCs w:val="24"/>
          <w:lang w:val="en-US"/>
        </w:rPr>
        <w:t>mail</w:t>
      </w:r>
      <w:proofErr w:type="gramEnd"/>
      <w:r>
        <w:rPr>
          <w:rFonts w:ascii="Arial" w:hAnsi="Arial" w:cs="Arial"/>
          <w:sz w:val="24"/>
          <w:szCs w:val="24"/>
        </w:rPr>
        <w:t xml:space="preserve">: </w:t>
      </w:r>
      <w:r w:rsidRPr="007427B1">
        <w:rPr>
          <w:rFonts w:ascii="Arial" w:hAnsi="Arial" w:cs="Arial"/>
          <w:sz w:val="24"/>
          <w:szCs w:val="24"/>
        </w:rPr>
        <w:t>……………………………………………</w:t>
      </w:r>
      <w:r>
        <w:rPr>
          <w:rFonts w:ascii="Arial" w:hAnsi="Arial" w:cs="Arial"/>
          <w:sz w:val="24"/>
          <w:szCs w:val="24"/>
        </w:rPr>
        <w:t>...</w:t>
      </w:r>
      <w:r>
        <w:tab/>
      </w:r>
    </w:p>
    <w:p w:rsidR="009B5564" w:rsidRPr="00A07CD8" w:rsidRDefault="009B5564" w:rsidP="009B5564">
      <w:pPr>
        <w:rPr>
          <w:rFonts w:ascii="Arial" w:hAnsi="Arial" w:cs="Arial"/>
          <w:b/>
          <w:sz w:val="24"/>
          <w:szCs w:val="24"/>
        </w:rPr>
      </w:pPr>
      <w:r w:rsidRPr="00A07CD8">
        <w:rPr>
          <w:rFonts w:ascii="Arial" w:hAnsi="Arial" w:cs="Arial"/>
          <w:b/>
          <w:sz w:val="24"/>
          <w:szCs w:val="24"/>
        </w:rPr>
        <w:t xml:space="preserve">      Προς</w:t>
      </w:r>
    </w:p>
    <w:p w:rsidR="009B5564" w:rsidRPr="00A07CD8" w:rsidRDefault="009B5564" w:rsidP="009B5564">
      <w:pPr>
        <w:ind w:right="-119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Υφυπουργό αρμόδιο για θέματα Κοινωνικών Ασφαλίσεων</w:t>
      </w:r>
    </w:p>
    <w:p w:rsidR="009B5564" w:rsidRPr="00A07CD8" w:rsidRDefault="009B5564" w:rsidP="009B5564">
      <w:pPr>
        <w:rPr>
          <w:rFonts w:ascii="Arial" w:hAnsi="Arial" w:cs="Arial"/>
          <w:b/>
          <w:sz w:val="24"/>
          <w:szCs w:val="24"/>
        </w:rPr>
      </w:pPr>
      <w:r w:rsidRPr="00A07CD8">
        <w:rPr>
          <w:rFonts w:ascii="Arial" w:hAnsi="Arial" w:cs="Arial"/>
          <w:b/>
          <w:sz w:val="24"/>
          <w:szCs w:val="24"/>
        </w:rPr>
        <w:t xml:space="preserve">κ. </w:t>
      </w:r>
      <w:r>
        <w:rPr>
          <w:rFonts w:ascii="Arial" w:hAnsi="Arial" w:cs="Arial"/>
          <w:b/>
          <w:sz w:val="24"/>
          <w:szCs w:val="24"/>
        </w:rPr>
        <w:t>Αναστάσιο Πετρόπουλο</w:t>
      </w:r>
    </w:p>
    <w:p w:rsidR="009B5564" w:rsidRPr="00A07CD8" w:rsidRDefault="009B5564" w:rsidP="009B5564">
      <w:pPr>
        <w:rPr>
          <w:rFonts w:ascii="Arial" w:hAnsi="Arial" w:cs="Arial"/>
          <w:b/>
          <w:sz w:val="24"/>
          <w:szCs w:val="24"/>
        </w:rPr>
      </w:pPr>
      <w:r w:rsidRPr="00A07CD8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Αθήνα </w:t>
      </w:r>
    </w:p>
    <w:p w:rsidR="009B5564" w:rsidRPr="007427B1" w:rsidRDefault="009B5564" w:rsidP="009B5564">
      <w:pPr>
        <w:rPr>
          <w:rFonts w:ascii="Arial" w:hAnsi="Arial" w:cs="Arial"/>
          <w:sz w:val="24"/>
          <w:szCs w:val="24"/>
        </w:rPr>
      </w:pPr>
    </w:p>
    <w:p w:rsidR="009B5564" w:rsidRPr="007427B1" w:rsidRDefault="009B5564" w:rsidP="009B5564">
      <w:pPr>
        <w:ind w:left="284" w:right="-1050"/>
        <w:jc w:val="both"/>
        <w:rPr>
          <w:rFonts w:ascii="Arial" w:hAnsi="Arial" w:cs="Arial"/>
          <w:sz w:val="24"/>
          <w:szCs w:val="24"/>
        </w:rPr>
      </w:pPr>
      <w:r w:rsidRPr="00A07CD8">
        <w:rPr>
          <w:rFonts w:ascii="Arial" w:hAnsi="Arial" w:cs="Arial"/>
          <w:b/>
          <w:sz w:val="24"/>
          <w:szCs w:val="24"/>
        </w:rPr>
        <w:t>Θέμα:</w:t>
      </w:r>
      <w:r w:rsidRPr="007427B1">
        <w:rPr>
          <w:rFonts w:ascii="Arial" w:hAnsi="Arial" w:cs="Arial"/>
          <w:sz w:val="24"/>
          <w:szCs w:val="24"/>
        </w:rPr>
        <w:t xml:space="preserve"> Ένταξη του ΤΑΜΕΙΟΥ ΑΛΛΗΛΟΒΟΗΘΕΙΑΣ ΠΡΟΣΩΠΙΚΟΥ ΙΟΝΙΚΗΣ - ΛΑΪΚΗΣ ΤΡΑΠΕΖΑΣ ΚΑΙ ΑΛΛΩΝ ΤΡΑΠΕΖΩΝ (ΤΑΠΙΛΤ-ΑΤ) στο ΕΝΙΑΙΟ ΤΑΜΕΙΟ ΕΠΙΚΟΥΡΙΚΗΣ ΑΣΦΑΛΙΣΗΣ </w:t>
      </w:r>
      <w:r>
        <w:rPr>
          <w:rFonts w:ascii="Arial" w:hAnsi="Arial" w:cs="Arial"/>
          <w:sz w:val="24"/>
          <w:szCs w:val="24"/>
        </w:rPr>
        <w:t xml:space="preserve">&amp; ΕΦΑΠΑΞ ΠΑΡΟΧΩΝ </w:t>
      </w:r>
      <w:r w:rsidRPr="007427B1">
        <w:rPr>
          <w:rFonts w:ascii="Arial" w:hAnsi="Arial" w:cs="Arial"/>
          <w:sz w:val="24"/>
          <w:szCs w:val="24"/>
        </w:rPr>
        <w:t>(ΕΤΕΑ</w:t>
      </w:r>
      <w:r>
        <w:rPr>
          <w:rFonts w:ascii="Arial" w:hAnsi="Arial" w:cs="Arial"/>
          <w:sz w:val="24"/>
          <w:szCs w:val="24"/>
        </w:rPr>
        <w:t>ΕΠ</w:t>
      </w:r>
      <w:r w:rsidRPr="007427B1">
        <w:rPr>
          <w:rFonts w:ascii="Arial" w:hAnsi="Arial" w:cs="Arial"/>
          <w:sz w:val="24"/>
          <w:szCs w:val="24"/>
        </w:rPr>
        <w:t>).</w:t>
      </w:r>
    </w:p>
    <w:p w:rsidR="009B5564" w:rsidRDefault="009B5564" w:rsidP="009B5564">
      <w:pPr>
        <w:jc w:val="both"/>
        <w:rPr>
          <w:rFonts w:ascii="Arial" w:hAnsi="Arial" w:cs="Arial"/>
          <w:sz w:val="24"/>
          <w:szCs w:val="24"/>
        </w:rPr>
      </w:pPr>
    </w:p>
    <w:p w:rsidR="009B5564" w:rsidRPr="007427B1" w:rsidRDefault="009B5564" w:rsidP="009B5564">
      <w:pPr>
        <w:ind w:left="-426" w:right="-1050"/>
        <w:jc w:val="both"/>
        <w:rPr>
          <w:rFonts w:ascii="Arial" w:hAnsi="Arial" w:cs="Arial"/>
          <w:sz w:val="24"/>
          <w:szCs w:val="24"/>
        </w:rPr>
      </w:pPr>
      <w:r w:rsidRPr="007427B1">
        <w:rPr>
          <w:rFonts w:ascii="Arial" w:hAnsi="Arial" w:cs="Arial"/>
          <w:sz w:val="24"/>
          <w:szCs w:val="24"/>
        </w:rPr>
        <w:t>Κύριε Υπουργέ</w:t>
      </w:r>
    </w:p>
    <w:p w:rsidR="009B5564" w:rsidRDefault="009B5564" w:rsidP="009B5564">
      <w:pPr>
        <w:ind w:left="-426" w:right="-1050"/>
        <w:jc w:val="both"/>
        <w:rPr>
          <w:rFonts w:ascii="Arial" w:hAnsi="Arial" w:cs="Arial"/>
          <w:sz w:val="24"/>
          <w:szCs w:val="24"/>
        </w:rPr>
      </w:pPr>
      <w:r w:rsidRPr="007427B1">
        <w:rPr>
          <w:rFonts w:ascii="Arial" w:hAnsi="Arial" w:cs="Arial"/>
          <w:sz w:val="24"/>
          <w:szCs w:val="24"/>
        </w:rPr>
        <w:t xml:space="preserve">Το ΤΑΠΙΛΤ-ΑΤ είναι το Επικουρικό Ταμείο που λειτουργεί με τη μορφή Ν.Π.Ι.Δ. και καλύπτει για επικουρική σύνταξη τους εργαζόμενους της πρώην ΙΟΝΙΚΗΣ Τράπεζας που συγχωνεύτηκε στην ALPHA καθώς και μικρό αριθμό εργαζομένων </w:t>
      </w:r>
      <w:r>
        <w:rPr>
          <w:rFonts w:ascii="Arial" w:hAnsi="Arial" w:cs="Arial"/>
          <w:sz w:val="24"/>
          <w:szCs w:val="24"/>
        </w:rPr>
        <w:t xml:space="preserve">στην Τράπεζα Αττικής καθώς και </w:t>
      </w:r>
      <w:r w:rsidRPr="007427B1">
        <w:rPr>
          <w:rFonts w:ascii="Arial" w:hAnsi="Arial" w:cs="Arial"/>
          <w:sz w:val="24"/>
          <w:szCs w:val="24"/>
        </w:rPr>
        <w:t xml:space="preserve">σε άλλες Τράπεζες, όπως την Πειραιώς (Μακεδονίας-Θράκης), </w:t>
      </w:r>
      <w:proofErr w:type="spellStart"/>
      <w:r w:rsidRPr="007427B1">
        <w:rPr>
          <w:rFonts w:ascii="Arial" w:hAnsi="Arial" w:cs="Arial"/>
          <w:sz w:val="24"/>
          <w:szCs w:val="24"/>
        </w:rPr>
        <w:t>Eurobank</w:t>
      </w:r>
      <w:proofErr w:type="spellEnd"/>
      <w:r w:rsidRPr="007427B1">
        <w:rPr>
          <w:rFonts w:ascii="Arial" w:hAnsi="Arial" w:cs="Arial"/>
          <w:sz w:val="24"/>
          <w:szCs w:val="24"/>
        </w:rPr>
        <w:t xml:space="preserve"> (Εργασίας-Κρήτης-</w:t>
      </w:r>
      <w:proofErr w:type="spellStart"/>
      <w:r w:rsidRPr="007427B1">
        <w:rPr>
          <w:rFonts w:ascii="Arial" w:hAnsi="Arial" w:cs="Arial"/>
          <w:sz w:val="24"/>
          <w:szCs w:val="24"/>
        </w:rPr>
        <w:t>Αθηνώ</w:t>
      </w:r>
      <w:proofErr w:type="spellEnd"/>
      <w:r w:rsidRPr="007427B1">
        <w:rPr>
          <w:rFonts w:ascii="Arial" w:hAnsi="Arial" w:cs="Arial"/>
          <w:sz w:val="24"/>
          <w:szCs w:val="24"/>
        </w:rPr>
        <w:t>ν) και</w:t>
      </w:r>
      <w:r w:rsidR="0053714B">
        <w:rPr>
          <w:rFonts w:ascii="Arial" w:hAnsi="Arial" w:cs="Arial"/>
          <w:sz w:val="24"/>
          <w:szCs w:val="24"/>
        </w:rPr>
        <w:t xml:space="preserve"> ΕΤΕ (</w:t>
      </w:r>
      <w:proofErr w:type="spellStart"/>
      <w:r w:rsidR="0053714B">
        <w:rPr>
          <w:rFonts w:ascii="Arial" w:hAnsi="Arial" w:cs="Arial"/>
          <w:sz w:val="24"/>
          <w:szCs w:val="24"/>
        </w:rPr>
        <w:t>Εθνοκάρτα</w:t>
      </w:r>
      <w:proofErr w:type="spellEnd"/>
      <w:r w:rsidR="0053714B">
        <w:rPr>
          <w:rFonts w:ascii="Arial" w:hAnsi="Arial" w:cs="Arial"/>
          <w:sz w:val="24"/>
          <w:szCs w:val="24"/>
        </w:rPr>
        <w:t>) κλπ</w:t>
      </w:r>
      <w:r w:rsidRPr="007427B1">
        <w:rPr>
          <w:rFonts w:ascii="Arial" w:hAnsi="Arial" w:cs="Arial"/>
          <w:sz w:val="24"/>
          <w:szCs w:val="24"/>
        </w:rPr>
        <w:t>, των οποίων οι Τράπεζες που εργάστηκαν συγχωνεύτηκαν στους νέους Ομίλους.</w:t>
      </w:r>
    </w:p>
    <w:p w:rsidR="009B5564" w:rsidRDefault="009B5564" w:rsidP="009B5564">
      <w:pPr>
        <w:ind w:left="-426" w:right="-1050"/>
        <w:jc w:val="both"/>
        <w:rPr>
          <w:rFonts w:ascii="Arial" w:hAnsi="Arial" w:cs="Arial"/>
          <w:sz w:val="24"/>
          <w:szCs w:val="24"/>
        </w:rPr>
      </w:pPr>
    </w:p>
    <w:p w:rsidR="009B5564" w:rsidRDefault="009B5564" w:rsidP="009B5564">
      <w:pPr>
        <w:ind w:right="-1050"/>
        <w:jc w:val="both"/>
        <w:rPr>
          <w:rFonts w:ascii="Arial" w:hAnsi="Arial" w:cs="Arial"/>
          <w:sz w:val="24"/>
          <w:szCs w:val="24"/>
        </w:rPr>
      </w:pPr>
    </w:p>
    <w:p w:rsidR="009B5564" w:rsidRDefault="009B5564" w:rsidP="009B5564">
      <w:pPr>
        <w:ind w:right="-1050"/>
        <w:jc w:val="both"/>
        <w:rPr>
          <w:rFonts w:ascii="Arial" w:hAnsi="Arial" w:cs="Arial"/>
          <w:sz w:val="24"/>
          <w:szCs w:val="24"/>
        </w:rPr>
      </w:pPr>
    </w:p>
    <w:p w:rsidR="009B5564" w:rsidRPr="003E31B6" w:rsidRDefault="009B5564" w:rsidP="009B5564">
      <w:pPr>
        <w:ind w:left="-426" w:right="-1050"/>
        <w:jc w:val="both"/>
        <w:rPr>
          <w:rFonts w:ascii="Arial" w:hAnsi="Arial" w:cs="Arial"/>
          <w:b/>
          <w:sz w:val="24"/>
          <w:szCs w:val="24"/>
        </w:rPr>
      </w:pPr>
      <w:r w:rsidRPr="00503033">
        <w:rPr>
          <w:rFonts w:ascii="Arial" w:hAnsi="Arial" w:cs="Arial"/>
          <w:sz w:val="24"/>
          <w:szCs w:val="24"/>
        </w:rPr>
        <w:t>Το ΤΑΠΙΛΤ-ΑΤ παρά τις μεγάλες μειώσεις που έχουν γίνει στις συντάξεις με αποφά</w:t>
      </w:r>
      <w:r w:rsidR="00340F59">
        <w:rPr>
          <w:rFonts w:ascii="Arial" w:hAnsi="Arial" w:cs="Arial"/>
          <w:sz w:val="24"/>
          <w:szCs w:val="24"/>
        </w:rPr>
        <w:t>σεις του Δ.Σ. του Ταμείου κατά 8</w:t>
      </w:r>
      <w:r w:rsidRPr="00503033">
        <w:rPr>
          <w:rFonts w:ascii="Arial" w:hAnsi="Arial" w:cs="Arial"/>
          <w:sz w:val="24"/>
          <w:szCs w:val="24"/>
        </w:rPr>
        <w:t xml:space="preserve">0% περίπου τα τελευταία χρόνια, είναι ένα ταμείο που δεν μπορεί να διασφαλίσει την καταβολή ούτε των σημερινών μειωμένων συντάξεων, λόγω της πλήρους ανατροπής της </w:t>
      </w:r>
      <w:r w:rsidRPr="003E31B6">
        <w:rPr>
          <w:rFonts w:ascii="Arial" w:hAnsi="Arial" w:cs="Arial"/>
          <w:b/>
          <w:sz w:val="24"/>
          <w:szCs w:val="24"/>
        </w:rPr>
        <w:t xml:space="preserve">αναλογίας ασφαλισμένων </w:t>
      </w:r>
      <w:r w:rsidR="003E31B6" w:rsidRPr="003E31B6">
        <w:rPr>
          <w:rFonts w:ascii="Arial" w:hAnsi="Arial" w:cs="Arial"/>
          <w:b/>
          <w:sz w:val="24"/>
          <w:szCs w:val="24"/>
        </w:rPr>
        <w:t>–</w:t>
      </w:r>
      <w:r w:rsidRPr="003E31B6">
        <w:rPr>
          <w:rFonts w:ascii="Arial" w:hAnsi="Arial" w:cs="Arial"/>
          <w:b/>
          <w:sz w:val="24"/>
          <w:szCs w:val="24"/>
        </w:rPr>
        <w:t xml:space="preserve"> συνταξιούχων</w:t>
      </w:r>
      <w:r w:rsidR="003E31B6" w:rsidRPr="003E31B6">
        <w:rPr>
          <w:rFonts w:ascii="Arial" w:hAnsi="Arial" w:cs="Arial"/>
          <w:b/>
          <w:sz w:val="24"/>
          <w:szCs w:val="24"/>
        </w:rPr>
        <w:t>, η οποία έχει διαμορφωθεί σε 0,57 : 1</w:t>
      </w:r>
      <w:r w:rsidRPr="003E31B6">
        <w:rPr>
          <w:rFonts w:ascii="Arial" w:hAnsi="Arial" w:cs="Arial"/>
          <w:b/>
          <w:sz w:val="24"/>
          <w:szCs w:val="24"/>
        </w:rPr>
        <w:t xml:space="preserve">. </w:t>
      </w:r>
    </w:p>
    <w:p w:rsidR="009B5564" w:rsidRPr="00503033" w:rsidRDefault="009B5564" w:rsidP="009B5564">
      <w:pPr>
        <w:ind w:left="-426" w:right="-1050"/>
        <w:jc w:val="both"/>
        <w:rPr>
          <w:rFonts w:ascii="Arial" w:hAnsi="Arial" w:cs="Arial"/>
          <w:sz w:val="24"/>
          <w:szCs w:val="24"/>
        </w:rPr>
      </w:pPr>
      <w:r w:rsidRPr="00503033">
        <w:rPr>
          <w:rFonts w:ascii="Arial" w:hAnsi="Arial" w:cs="Arial"/>
          <w:sz w:val="24"/>
          <w:szCs w:val="24"/>
        </w:rPr>
        <w:t>Με δεδομένο ότι είναι ένα Ταμείο χωρίς νέους ασφαλισμένους οι οποίοι υπήχθησαν με βάση τις διατάξεις του άρθρου 58 του νόμου 3371/2005 για επικουρική σύνταξη αρχικά στο ΕΤΕΑΜ, σήμερα ΕΤΕΑΕΠ, το ΤΑΠΙΛΤ-ΑΤ έχει καταστεί ένα Ταμείο χωρίς μέλλον, αφού ήδη οι συνταξιούχοι, που ανέρχονται σε 6.</w:t>
      </w:r>
      <w:r w:rsidR="00345806" w:rsidRPr="00345806">
        <w:rPr>
          <w:rFonts w:ascii="Arial" w:hAnsi="Arial" w:cs="Arial"/>
          <w:sz w:val="24"/>
          <w:szCs w:val="24"/>
        </w:rPr>
        <w:t>300</w:t>
      </w:r>
      <w:r w:rsidRPr="00503033">
        <w:rPr>
          <w:rFonts w:ascii="Arial" w:hAnsi="Arial" w:cs="Arial"/>
          <w:sz w:val="24"/>
          <w:szCs w:val="24"/>
        </w:rPr>
        <w:t xml:space="preserve">, ξεπερνούν τον αριθμό των </w:t>
      </w:r>
      <w:r w:rsidR="00345806">
        <w:rPr>
          <w:rFonts w:ascii="Arial" w:hAnsi="Arial" w:cs="Arial"/>
          <w:sz w:val="24"/>
          <w:szCs w:val="24"/>
        </w:rPr>
        <w:t xml:space="preserve">ενεργών </w:t>
      </w:r>
      <w:r w:rsidRPr="00503033">
        <w:rPr>
          <w:rFonts w:ascii="Arial" w:hAnsi="Arial" w:cs="Arial"/>
          <w:sz w:val="24"/>
          <w:szCs w:val="24"/>
        </w:rPr>
        <w:t xml:space="preserve">ασφαλισμένων οι οποίοι μέχρι το τέλος του 2018, μετά και το πρόγραμμα εθελουσίας εξόδου της ΑLPHA, θα είναι </w:t>
      </w:r>
      <w:r w:rsidR="00345806">
        <w:rPr>
          <w:rFonts w:ascii="Arial" w:hAnsi="Arial" w:cs="Arial"/>
          <w:sz w:val="24"/>
          <w:szCs w:val="24"/>
        </w:rPr>
        <w:t>3.7</w:t>
      </w:r>
      <w:r w:rsidRPr="00503033">
        <w:rPr>
          <w:rFonts w:ascii="Arial" w:hAnsi="Arial" w:cs="Arial"/>
          <w:sz w:val="24"/>
          <w:szCs w:val="24"/>
        </w:rPr>
        <w:t>00 περίπου.</w:t>
      </w:r>
    </w:p>
    <w:p w:rsidR="009B5564" w:rsidRPr="00503033" w:rsidRDefault="009B5564" w:rsidP="009B5564">
      <w:pPr>
        <w:ind w:left="-426" w:right="-1050"/>
        <w:jc w:val="both"/>
        <w:rPr>
          <w:rFonts w:ascii="Arial" w:hAnsi="Arial" w:cs="Arial"/>
          <w:sz w:val="24"/>
          <w:szCs w:val="24"/>
        </w:rPr>
      </w:pPr>
      <w:r w:rsidRPr="00503033">
        <w:rPr>
          <w:rFonts w:ascii="Arial" w:hAnsi="Arial" w:cs="Arial"/>
          <w:b/>
          <w:sz w:val="24"/>
          <w:szCs w:val="24"/>
        </w:rPr>
        <w:t>Επειδή</w:t>
      </w:r>
      <w:r w:rsidRPr="00503033">
        <w:rPr>
          <w:rFonts w:ascii="Arial" w:hAnsi="Arial" w:cs="Arial"/>
          <w:sz w:val="24"/>
          <w:szCs w:val="24"/>
        </w:rPr>
        <w:t xml:space="preserve"> ο ιδρυτικός νόμος του ΕΤΕΑΜ 997/1979 στο άρθρο 3, προέβλεπε ότι στην περίπτωση που ένας επικουρικός ασφαλιστικός φορέας δεν μπορεί να χορηγεί παροχές ισοδύναμες με εκείνες του ΕΤΕΑΜ, μπορεί οποιαδήποτε οργάνωση των εργαζομένων ή ακόμη και μεμονωμένοι ασφαλισμένοι να ζητήσουν από τον Υπουργό Εργασίας Κοινωνικής Ασφάλισης και Πρόνοιας την ένταξή του στο ΕΤΕΑΜ ή σήμερα στο ΕΤΕΑΕΠ, που αποτελεί τη διάδοχη κατάσταση του  ΕΤΕΑΜ και όλων των επικουρικών ταμείων</w:t>
      </w:r>
    </w:p>
    <w:p w:rsidR="009B5564" w:rsidRPr="00503033" w:rsidRDefault="009B5564" w:rsidP="009B5564">
      <w:pPr>
        <w:ind w:left="-426" w:right="-1050"/>
        <w:jc w:val="both"/>
        <w:rPr>
          <w:rFonts w:ascii="Arial" w:hAnsi="Arial" w:cs="Arial"/>
          <w:sz w:val="24"/>
          <w:szCs w:val="24"/>
        </w:rPr>
      </w:pPr>
      <w:r w:rsidRPr="00503033">
        <w:rPr>
          <w:rFonts w:ascii="Arial" w:hAnsi="Arial" w:cs="Arial"/>
          <w:b/>
          <w:sz w:val="24"/>
          <w:szCs w:val="24"/>
        </w:rPr>
        <w:t>Επειδή</w:t>
      </w:r>
      <w:r w:rsidRPr="00503033">
        <w:rPr>
          <w:rFonts w:ascii="Arial" w:hAnsi="Arial" w:cs="Arial"/>
          <w:sz w:val="24"/>
          <w:szCs w:val="24"/>
        </w:rPr>
        <w:t xml:space="preserve"> το ΤΑΠΙΛΤ-ΑΤ δεν μπορεί να εξασφαλίσει συντάξεις ισοδύναμες με εκείνες του ΕΤΕΑΕΠ, μετά την παρέμβαση της Πολιτείας με το νόμο 3371/2005 με τον οποίο κατέστησε το ΤΑΠΙΛΤ-ΑΤ «κλειστό» ταμείο, χωρίς νέους ασφαλισμένους  </w:t>
      </w:r>
    </w:p>
    <w:p w:rsidR="009B5564" w:rsidRPr="00503033" w:rsidRDefault="009B5564" w:rsidP="009B5564">
      <w:pPr>
        <w:ind w:left="-426" w:right="-1050"/>
        <w:jc w:val="both"/>
        <w:rPr>
          <w:rFonts w:ascii="Arial" w:hAnsi="Arial" w:cs="Arial"/>
          <w:sz w:val="24"/>
          <w:szCs w:val="24"/>
        </w:rPr>
      </w:pPr>
      <w:r w:rsidRPr="00503033">
        <w:rPr>
          <w:rFonts w:ascii="Arial" w:hAnsi="Arial" w:cs="Arial"/>
          <w:b/>
          <w:sz w:val="24"/>
          <w:szCs w:val="24"/>
        </w:rPr>
        <w:t>Επειδή</w:t>
      </w:r>
      <w:r w:rsidRPr="00503033">
        <w:rPr>
          <w:rFonts w:ascii="Arial" w:hAnsi="Arial" w:cs="Arial"/>
          <w:sz w:val="24"/>
          <w:szCs w:val="24"/>
        </w:rPr>
        <w:t xml:space="preserve"> κατά την έννοια των διατάξεων του Ν. 2084/1992, το ΤΑΠΙΛΤ-ΑΤ αποτελεί φορέα κοινωνικής ασφάλισης και μάλιστα υποχρεωτικής ασφάλισης  </w:t>
      </w:r>
    </w:p>
    <w:p w:rsidR="009B5564" w:rsidRPr="00503033" w:rsidRDefault="009B5564" w:rsidP="009B5564">
      <w:pPr>
        <w:ind w:left="-426" w:right="-1050"/>
        <w:jc w:val="both"/>
        <w:rPr>
          <w:rFonts w:ascii="Arial" w:hAnsi="Arial" w:cs="Arial"/>
          <w:sz w:val="24"/>
          <w:szCs w:val="24"/>
        </w:rPr>
      </w:pPr>
      <w:r w:rsidRPr="00503033">
        <w:rPr>
          <w:rFonts w:ascii="Arial" w:hAnsi="Arial" w:cs="Arial"/>
          <w:b/>
          <w:sz w:val="24"/>
          <w:szCs w:val="24"/>
        </w:rPr>
        <w:t xml:space="preserve">Επειδή </w:t>
      </w:r>
      <w:r w:rsidRPr="00503033">
        <w:rPr>
          <w:rFonts w:ascii="Arial" w:hAnsi="Arial" w:cs="Arial"/>
          <w:sz w:val="24"/>
          <w:szCs w:val="24"/>
        </w:rPr>
        <w:t>η περιουσία του Ταμείου που ξεπερνά τα 1</w:t>
      </w:r>
      <w:r w:rsidR="003E31B6">
        <w:rPr>
          <w:rFonts w:ascii="Arial" w:hAnsi="Arial" w:cs="Arial"/>
          <w:sz w:val="24"/>
          <w:szCs w:val="24"/>
        </w:rPr>
        <w:t>82</w:t>
      </w:r>
      <w:r w:rsidRPr="00503033">
        <w:rPr>
          <w:rFonts w:ascii="Arial" w:hAnsi="Arial" w:cs="Arial"/>
          <w:sz w:val="24"/>
          <w:szCs w:val="24"/>
        </w:rPr>
        <w:t xml:space="preserve"> εκατ. ευρώ, δεν θα πρέπει να εξανεμιστεί είτε με τη διατήρηση της υπάρχουσας κατάστασης είτε με την επιστροφή των εισφορών </w:t>
      </w:r>
    </w:p>
    <w:p w:rsidR="009B5564" w:rsidRPr="00503033" w:rsidRDefault="009B5564" w:rsidP="009B5564">
      <w:pPr>
        <w:ind w:left="-426" w:right="-1050"/>
        <w:jc w:val="both"/>
        <w:rPr>
          <w:rFonts w:ascii="Arial" w:hAnsi="Arial" w:cs="Arial"/>
          <w:sz w:val="24"/>
          <w:szCs w:val="24"/>
        </w:rPr>
      </w:pPr>
      <w:r w:rsidRPr="00503033">
        <w:rPr>
          <w:rFonts w:ascii="Arial" w:hAnsi="Arial" w:cs="Arial"/>
          <w:b/>
          <w:sz w:val="24"/>
          <w:szCs w:val="24"/>
        </w:rPr>
        <w:t xml:space="preserve">Επειδή </w:t>
      </w:r>
      <w:r w:rsidRPr="00503033">
        <w:rPr>
          <w:rFonts w:ascii="Arial" w:hAnsi="Arial" w:cs="Arial"/>
          <w:sz w:val="24"/>
          <w:szCs w:val="24"/>
        </w:rPr>
        <w:t>ο υποχρεωτικός χαρακτήρας της ασφάλισης είναι δεδομένος, απορρέει από την υποχρεωτικότητα της επικουρικής ασφάλισης η οποία ασκείται στην περίπτωση των ανωτέρω ασφαλισμένων και συνταξιούχων μέσα από το ΤΑΠΙΛΤ-ΑΤ και η Πολιτεία οφείλει να διασφαλίσει την ασφαλιστική κάλυψη και την καταβολή επικουρικών συντάξεων στους εν λόγω εργαζόμενους και συνταξιούχους για σήμερα και το μέλλον</w:t>
      </w:r>
    </w:p>
    <w:p w:rsidR="009B5564" w:rsidRPr="00503033" w:rsidRDefault="009B5564" w:rsidP="009B5564">
      <w:pPr>
        <w:ind w:left="-426" w:right="-1050"/>
        <w:jc w:val="both"/>
        <w:rPr>
          <w:rFonts w:ascii="Arial" w:hAnsi="Arial" w:cs="Arial"/>
          <w:sz w:val="24"/>
          <w:szCs w:val="24"/>
        </w:rPr>
      </w:pPr>
      <w:r w:rsidRPr="00503033">
        <w:rPr>
          <w:rFonts w:ascii="Arial" w:hAnsi="Arial" w:cs="Arial"/>
          <w:b/>
          <w:sz w:val="24"/>
          <w:szCs w:val="24"/>
        </w:rPr>
        <w:t>Επειδή</w:t>
      </w:r>
      <w:r w:rsidRPr="00503033">
        <w:rPr>
          <w:rFonts w:ascii="Arial" w:hAnsi="Arial" w:cs="Arial"/>
          <w:sz w:val="24"/>
          <w:szCs w:val="24"/>
        </w:rPr>
        <w:t>, τέλος, οι προβλεπόμενες με βάση το Καταστατικό του ΤΑΠΙΛΤ-ΑΤ ασφαλιστικές εισφορές ανέρχονται σε 3% για τους εργαζόμενους και 4% για τους εργοδότες, δηλαδή υψηλότερες κατά μία (1) ποσοστιαία μονάδα των τακτικών εισφορών του ΕΤΕΑΕΠ</w:t>
      </w:r>
    </w:p>
    <w:p w:rsidR="009B5564" w:rsidRPr="00A07CD8" w:rsidRDefault="009B5564" w:rsidP="009B5564">
      <w:pPr>
        <w:ind w:left="-426" w:right="-1050"/>
        <w:jc w:val="both"/>
        <w:rPr>
          <w:rFonts w:ascii="Arial" w:hAnsi="Arial" w:cs="Arial"/>
          <w:sz w:val="24"/>
          <w:szCs w:val="24"/>
        </w:rPr>
      </w:pPr>
    </w:p>
    <w:p w:rsidR="009B5564" w:rsidRPr="00A07CD8" w:rsidRDefault="009B5564" w:rsidP="009B5564">
      <w:pPr>
        <w:tabs>
          <w:tab w:val="left" w:pos="1140"/>
        </w:tabs>
        <w:ind w:left="-426" w:right="-1050"/>
        <w:jc w:val="center"/>
        <w:rPr>
          <w:rFonts w:ascii="Arial" w:hAnsi="Arial" w:cs="Arial"/>
          <w:b/>
          <w:sz w:val="24"/>
          <w:szCs w:val="24"/>
        </w:rPr>
      </w:pPr>
      <w:r w:rsidRPr="00A07CD8">
        <w:rPr>
          <w:rFonts w:ascii="Arial" w:hAnsi="Arial" w:cs="Arial"/>
          <w:b/>
          <w:sz w:val="24"/>
          <w:szCs w:val="24"/>
        </w:rPr>
        <w:t>ΑΙΤΟΥΜΑΙ</w:t>
      </w:r>
    </w:p>
    <w:p w:rsidR="009B5564" w:rsidRPr="00503033" w:rsidRDefault="009B5564" w:rsidP="009B5564">
      <w:pPr>
        <w:ind w:left="-426" w:right="-1050"/>
        <w:jc w:val="both"/>
        <w:rPr>
          <w:rFonts w:ascii="Arial" w:hAnsi="Arial" w:cs="Arial"/>
          <w:sz w:val="24"/>
          <w:szCs w:val="24"/>
        </w:rPr>
      </w:pPr>
      <w:r w:rsidRPr="00A07CD8">
        <w:rPr>
          <w:rFonts w:ascii="Arial" w:hAnsi="Arial" w:cs="Arial"/>
          <w:sz w:val="24"/>
          <w:szCs w:val="24"/>
        </w:rPr>
        <w:t>Την άμεση υπαγωγή του ΤΑΠΙΛΤ-ΑΤ στο ΕΤΕΑ</w:t>
      </w:r>
      <w:r>
        <w:rPr>
          <w:rFonts w:ascii="Arial" w:hAnsi="Arial" w:cs="Arial"/>
          <w:sz w:val="24"/>
          <w:szCs w:val="24"/>
        </w:rPr>
        <w:t xml:space="preserve">ΕΠ, σύμφωνα με την παρακάτω προτεινόμενη </w:t>
      </w:r>
      <w:r w:rsidRPr="00503033">
        <w:rPr>
          <w:rFonts w:ascii="Arial" w:hAnsi="Arial" w:cs="Arial"/>
          <w:sz w:val="24"/>
          <w:szCs w:val="24"/>
        </w:rPr>
        <w:t>διάταξη νόμου</w:t>
      </w:r>
      <w:r>
        <w:rPr>
          <w:rFonts w:ascii="Arial" w:hAnsi="Arial" w:cs="Arial"/>
          <w:sz w:val="24"/>
          <w:szCs w:val="24"/>
        </w:rPr>
        <w:t xml:space="preserve"> </w:t>
      </w:r>
      <w:r w:rsidRPr="00503033">
        <w:rPr>
          <w:rFonts w:ascii="Arial" w:hAnsi="Arial" w:cs="Arial"/>
          <w:sz w:val="24"/>
          <w:szCs w:val="24"/>
        </w:rPr>
        <w:t>:</w:t>
      </w:r>
    </w:p>
    <w:p w:rsidR="009B5564" w:rsidRPr="00503033" w:rsidRDefault="009B5564" w:rsidP="009B5564">
      <w:pPr>
        <w:ind w:left="-426" w:right="-1050"/>
        <w:jc w:val="both"/>
        <w:rPr>
          <w:rFonts w:ascii="Arial" w:hAnsi="Arial" w:cs="Arial"/>
          <w:sz w:val="24"/>
          <w:szCs w:val="24"/>
        </w:rPr>
      </w:pPr>
      <w:r w:rsidRPr="00503033">
        <w:rPr>
          <w:rFonts w:ascii="Arial" w:hAnsi="Arial" w:cs="Arial"/>
          <w:sz w:val="24"/>
          <w:szCs w:val="24"/>
        </w:rPr>
        <w:t xml:space="preserve">«α) Οι ασφαλισμένοι και οι συνταξιούχοι του Ταμείου Αλληλοβοήθειας Προσωπικού Ιονικής-Λαϊκής Τράπεζας και Άλλων Τραπεζών (ΤΑΠΙΛΤ-ΑΤ) υπάγονται υποχρεωτικά, από την πρώτη του μεθεπομένου μήνα από το μήνα δημοσίευσης του παρόντος νόμου στην </w:t>
      </w:r>
      <w:r w:rsidRPr="00503033">
        <w:rPr>
          <w:rFonts w:ascii="Arial" w:hAnsi="Arial" w:cs="Arial"/>
          <w:sz w:val="24"/>
          <w:szCs w:val="24"/>
        </w:rPr>
        <w:lastRenderedPageBreak/>
        <w:t xml:space="preserve">Εφημερίδα της Κυβερνήσεως, στο Ενιαίο Ταμείο Επικουρικής Ασφάλισης και Εφάπαξ Παροχών (ΕΤΕΑΕΠ).  </w:t>
      </w:r>
    </w:p>
    <w:p w:rsidR="009B5564" w:rsidRPr="00503033" w:rsidRDefault="009B5564" w:rsidP="009B5564">
      <w:pPr>
        <w:ind w:left="-426" w:right="-1050"/>
        <w:jc w:val="both"/>
        <w:rPr>
          <w:rFonts w:ascii="Arial" w:hAnsi="Arial" w:cs="Arial"/>
          <w:sz w:val="24"/>
          <w:szCs w:val="24"/>
        </w:rPr>
      </w:pPr>
      <w:r w:rsidRPr="00503033">
        <w:rPr>
          <w:rFonts w:ascii="Arial" w:hAnsi="Arial" w:cs="Arial"/>
          <w:sz w:val="24"/>
          <w:szCs w:val="24"/>
        </w:rPr>
        <w:t xml:space="preserve">β) Οι ασφαλισμένοι του συγχωνευομένου Ταμείου γίνονται ασφαλισμένοι του ΕΤΕΑΕΠ και η ασφαλιστική σχέση τους διέπεται, από τη συγχώνευση και μετά, από τις διατάξεις της νομοθεσίας του ΕΤΕΑΕΠ, καθώς και από τις διατάξεις της γενικής ασφαλιστικής νομοθεσίας, όπως ισχύουν.  </w:t>
      </w:r>
    </w:p>
    <w:p w:rsidR="009B5564" w:rsidRPr="00503033" w:rsidRDefault="009B5564" w:rsidP="009B5564">
      <w:pPr>
        <w:ind w:left="-426" w:right="-1050"/>
        <w:jc w:val="both"/>
        <w:rPr>
          <w:rFonts w:ascii="Arial" w:hAnsi="Arial" w:cs="Arial"/>
          <w:sz w:val="24"/>
          <w:szCs w:val="24"/>
        </w:rPr>
      </w:pPr>
      <w:r w:rsidRPr="00503033">
        <w:rPr>
          <w:rFonts w:ascii="Arial" w:hAnsi="Arial" w:cs="Arial"/>
          <w:sz w:val="24"/>
          <w:szCs w:val="24"/>
        </w:rPr>
        <w:t>γ) Ο χρόνος ασφάλισης που πραγματοποιήθηκε στο ανωτέρω Ταμείο, συμπεριλαμβανομένου και αυτού που αναγνωρίστηκε και εξαγοράστηκε ή προσμετρήθηκε από προϋπηρεσία ή άλλη αιτία ως συντάξιμος, με βάση τις διατάξεις της νομοθεσίας του, καθώς και της γενικής ασφαλιστικής νομοθεσίας, γίνεται χρόνος ασφάλισης στο ΕΤΕΑΕΠ.</w:t>
      </w:r>
    </w:p>
    <w:p w:rsidR="009B5564" w:rsidRPr="00503033" w:rsidRDefault="009B5564" w:rsidP="009B5564">
      <w:pPr>
        <w:ind w:left="-426" w:right="-1050"/>
        <w:jc w:val="both"/>
        <w:rPr>
          <w:rFonts w:ascii="Arial" w:hAnsi="Arial" w:cs="Arial"/>
          <w:sz w:val="24"/>
          <w:szCs w:val="24"/>
        </w:rPr>
      </w:pPr>
      <w:r w:rsidRPr="00503033">
        <w:rPr>
          <w:rFonts w:ascii="Arial" w:hAnsi="Arial" w:cs="Arial"/>
          <w:sz w:val="24"/>
          <w:szCs w:val="24"/>
        </w:rPr>
        <w:t xml:space="preserve"> δ) Αναγνωρίσεις χρόνων σύμφωνα με το Καταστατικό του ΤΑΠΙΛΤ-ΑΤ, οι οποίες δεν έχουν ολοκληρωθεί με την πλήρη εξόφληση του ποσού της εξαγοράς, συνεχίζονται στο ΕΤΕΑΕΠ μέχρι την ολοκλήρωση τους.</w:t>
      </w:r>
    </w:p>
    <w:p w:rsidR="009B5564" w:rsidRPr="00503033" w:rsidRDefault="009B5564" w:rsidP="009B5564">
      <w:pPr>
        <w:ind w:left="-426" w:right="-1050"/>
        <w:jc w:val="both"/>
        <w:rPr>
          <w:rFonts w:ascii="Arial" w:hAnsi="Arial" w:cs="Arial"/>
          <w:sz w:val="24"/>
          <w:szCs w:val="24"/>
        </w:rPr>
      </w:pPr>
      <w:r w:rsidRPr="00503033">
        <w:rPr>
          <w:rFonts w:ascii="Arial" w:hAnsi="Arial" w:cs="Arial"/>
          <w:sz w:val="24"/>
          <w:szCs w:val="24"/>
        </w:rPr>
        <w:t xml:space="preserve"> ε) Από την υπαγωγή στο ΕΤΕΑΕΠ, οι καταβαλλόμενες αλλά και οι νέες συντάξεις του ΤΑΠΙΛΤ-ΑΤ υπολογίζονται σύμφωνα με τις διατάξεις που διέπουν το ΕΤΕΑΕΠ και ειδικότερα σύμφωνα με τις διατάξεις του άρθρου 96 παρ. 1 και 2 του νόμου 4387/2016. Το ποσό της προκύπτουσας σύνταξης, σύμφωνα με τα ανωτέρω, αποτελεί εφεξής την καταβαλλόμενη σύνταξη του ΕΤΕΑΕΠ, η οποία διέπεται από τη νομοθεσία</w:t>
      </w:r>
      <w:r w:rsidR="002F4BD7">
        <w:rPr>
          <w:rFonts w:ascii="Arial" w:hAnsi="Arial" w:cs="Arial"/>
          <w:sz w:val="24"/>
          <w:szCs w:val="24"/>
        </w:rPr>
        <w:t xml:space="preserve"> </w:t>
      </w:r>
      <w:r w:rsidRPr="00503033">
        <w:rPr>
          <w:rFonts w:ascii="Arial" w:hAnsi="Arial" w:cs="Arial"/>
          <w:sz w:val="24"/>
          <w:szCs w:val="24"/>
        </w:rPr>
        <w:t>αυτού.</w:t>
      </w:r>
      <w:r w:rsidR="002F4BD7">
        <w:rPr>
          <w:rFonts w:ascii="Arial" w:hAnsi="Arial" w:cs="Arial"/>
          <w:sz w:val="24"/>
          <w:szCs w:val="24"/>
        </w:rPr>
        <w:t xml:space="preserve"> </w:t>
      </w:r>
      <w:r w:rsidRPr="00503033">
        <w:rPr>
          <w:rFonts w:ascii="Arial" w:hAnsi="Arial" w:cs="Arial"/>
          <w:sz w:val="24"/>
          <w:szCs w:val="24"/>
        </w:rPr>
        <w:t xml:space="preserve">Το ΕΤΕΑΕΠ βαρύνεται εφεξής με την καταβολή των συντάξεων στους ανωτέρω συνταξιούχους, οι οποίες μεταβάλλονται σύμφωνα με τις μεταβολές των συντάξεων του ΕΤΕΑΕΠ. </w:t>
      </w:r>
    </w:p>
    <w:p w:rsidR="009B5564" w:rsidRPr="00503033" w:rsidRDefault="009B5564" w:rsidP="009B5564">
      <w:pPr>
        <w:ind w:left="-426" w:right="-1050"/>
        <w:jc w:val="both"/>
        <w:rPr>
          <w:rFonts w:ascii="Arial" w:hAnsi="Arial" w:cs="Arial"/>
          <w:sz w:val="24"/>
          <w:szCs w:val="24"/>
        </w:rPr>
      </w:pPr>
      <w:r w:rsidRPr="00503033">
        <w:rPr>
          <w:rFonts w:ascii="Arial" w:hAnsi="Arial" w:cs="Arial"/>
          <w:sz w:val="24"/>
          <w:szCs w:val="24"/>
        </w:rPr>
        <w:t>στ)Το σύνολο της κινητής και ακίνητης περιουσίας του ΤΑΠΙΛΤ-ΑΤ μεταβιβάζεται στο ΕΤΕΑΕΠ. Για τη μεταβίβαση της κυριότητας των ακινήτων εκδίδεται διαπιστωτική πράξη από τον Υπουργό Εργασίας, Κοινωνικής Ασφάλισης και Πρόνοιας, η οποία μεταγράφεται ατελώς στα οικεία βιβλία του αρμόδιου Υποθηκοφυλακείου ή στα κτηματολογικά βιβλία.</w:t>
      </w:r>
    </w:p>
    <w:p w:rsidR="009B5564" w:rsidRPr="00503033" w:rsidRDefault="009B5564" w:rsidP="009B5564">
      <w:pPr>
        <w:ind w:left="-426" w:right="-1050"/>
        <w:jc w:val="both"/>
        <w:rPr>
          <w:rFonts w:ascii="Arial" w:hAnsi="Arial" w:cs="Arial"/>
          <w:sz w:val="24"/>
          <w:szCs w:val="24"/>
        </w:rPr>
      </w:pPr>
      <w:r w:rsidRPr="00503033">
        <w:rPr>
          <w:rFonts w:ascii="Arial" w:hAnsi="Arial" w:cs="Arial"/>
          <w:sz w:val="24"/>
          <w:szCs w:val="24"/>
        </w:rPr>
        <w:t>ζ) Με απόφαση του Υπουργού Εργασίας και Κοινωνικής Ασφάλισης, μετά από πρόταση του Δ.Σ. του ΕΤΕΑΕΠ, δύναται να ρυθμίζεται κάθε ειδικό θέμα ή λεπτομέρεια που δεν καλύπτεται από τις ανωτέρω διατάξεις.</w:t>
      </w:r>
    </w:p>
    <w:p w:rsidR="009B5564" w:rsidRPr="00503033" w:rsidRDefault="009B5564" w:rsidP="009B5564">
      <w:pPr>
        <w:ind w:left="-426" w:right="-1050"/>
        <w:jc w:val="both"/>
        <w:rPr>
          <w:rFonts w:ascii="Arial" w:hAnsi="Arial" w:cs="Arial"/>
          <w:sz w:val="24"/>
          <w:szCs w:val="24"/>
        </w:rPr>
      </w:pPr>
      <w:r w:rsidRPr="00503033">
        <w:rPr>
          <w:rFonts w:ascii="Arial" w:hAnsi="Arial" w:cs="Arial"/>
          <w:sz w:val="24"/>
          <w:szCs w:val="24"/>
        </w:rPr>
        <w:t xml:space="preserve"> η) Εκκρεμείς δίκες που αφορούν διαφορές ή υποθέσεις του συγχωνευόμενου Ταμείου συνεχίζονται από το ΕΤΕΑΕΠ, χωρίς διακοπή της δίκης. Οι δικαστικές αποφάσεις που εκδίδονται ισχύουν έναντι του ΕΤΕΑΕΠ.»</w:t>
      </w:r>
    </w:p>
    <w:p w:rsidR="009B5564" w:rsidRPr="00A07CD8" w:rsidRDefault="009B5564" w:rsidP="009B5564">
      <w:pPr>
        <w:ind w:left="-426" w:right="-1050"/>
        <w:jc w:val="both"/>
        <w:rPr>
          <w:rFonts w:ascii="Arial" w:hAnsi="Arial" w:cs="Arial"/>
          <w:sz w:val="24"/>
          <w:szCs w:val="24"/>
        </w:rPr>
      </w:pPr>
      <w:r w:rsidRPr="00A07CD8">
        <w:rPr>
          <w:rFonts w:ascii="Arial" w:hAnsi="Arial" w:cs="Arial"/>
          <w:sz w:val="24"/>
          <w:szCs w:val="24"/>
        </w:rPr>
        <w:t xml:space="preserve">Και εξουσιοδοτώ τον </w:t>
      </w:r>
      <w:r w:rsidR="00F112E9">
        <w:rPr>
          <w:rFonts w:ascii="Arial" w:hAnsi="Arial" w:cs="Arial"/>
          <w:sz w:val="24"/>
          <w:szCs w:val="24"/>
        </w:rPr>
        <w:t>«</w:t>
      </w:r>
      <w:r w:rsidRPr="00A07CD8">
        <w:rPr>
          <w:rFonts w:ascii="Arial" w:hAnsi="Arial" w:cs="Arial"/>
          <w:sz w:val="24"/>
          <w:szCs w:val="24"/>
        </w:rPr>
        <w:t xml:space="preserve">Σύλλογο </w:t>
      </w:r>
      <w:r w:rsidR="00F112E9">
        <w:rPr>
          <w:rFonts w:ascii="Arial" w:hAnsi="Arial" w:cs="Arial"/>
          <w:sz w:val="24"/>
          <w:szCs w:val="24"/>
        </w:rPr>
        <w:t xml:space="preserve">Συνταξιούχων Πρώην </w:t>
      </w:r>
      <w:proofErr w:type="spellStart"/>
      <w:r w:rsidR="00F112E9">
        <w:rPr>
          <w:rFonts w:ascii="Arial" w:hAnsi="Arial" w:cs="Arial"/>
          <w:sz w:val="24"/>
          <w:szCs w:val="24"/>
        </w:rPr>
        <w:t>Εθνοκάρτας</w:t>
      </w:r>
      <w:proofErr w:type="spellEnd"/>
      <w:r w:rsidR="00F112E9">
        <w:rPr>
          <w:rFonts w:ascii="Arial" w:hAnsi="Arial" w:cs="Arial"/>
          <w:sz w:val="24"/>
          <w:szCs w:val="24"/>
        </w:rPr>
        <w:t>»</w:t>
      </w:r>
      <w:bookmarkStart w:id="0" w:name="_GoBack"/>
      <w:bookmarkEnd w:id="0"/>
      <w:r w:rsidRPr="00A07CD8">
        <w:rPr>
          <w:rFonts w:ascii="Arial" w:hAnsi="Arial" w:cs="Arial"/>
          <w:sz w:val="24"/>
          <w:szCs w:val="24"/>
        </w:rPr>
        <w:t xml:space="preserve"> να σας καταθέσ</w:t>
      </w:r>
      <w:r>
        <w:rPr>
          <w:rFonts w:ascii="Arial" w:hAnsi="Arial" w:cs="Arial"/>
          <w:sz w:val="24"/>
          <w:szCs w:val="24"/>
        </w:rPr>
        <w:t>ει</w:t>
      </w:r>
      <w:r w:rsidRPr="00A07CD8">
        <w:rPr>
          <w:rFonts w:ascii="Arial" w:hAnsi="Arial" w:cs="Arial"/>
          <w:sz w:val="24"/>
          <w:szCs w:val="24"/>
        </w:rPr>
        <w:t xml:space="preserve"> την παρούσα και να με εκπροσωπ</w:t>
      </w:r>
      <w:r>
        <w:rPr>
          <w:rFonts w:ascii="Arial" w:hAnsi="Arial" w:cs="Arial"/>
          <w:sz w:val="24"/>
          <w:szCs w:val="24"/>
        </w:rPr>
        <w:t>εί</w:t>
      </w:r>
      <w:r w:rsidRPr="00A07CD8">
        <w:rPr>
          <w:rFonts w:ascii="Arial" w:hAnsi="Arial" w:cs="Arial"/>
          <w:sz w:val="24"/>
          <w:szCs w:val="24"/>
        </w:rPr>
        <w:t xml:space="preserve"> ενώπιον σας γ</w:t>
      </w:r>
      <w:r>
        <w:rPr>
          <w:rFonts w:ascii="Arial" w:hAnsi="Arial" w:cs="Arial"/>
          <w:sz w:val="24"/>
          <w:szCs w:val="24"/>
        </w:rPr>
        <w:t>ια την διεκπεραίωση του αιτήματό</w:t>
      </w:r>
      <w:r w:rsidRPr="00A07CD8">
        <w:rPr>
          <w:rFonts w:ascii="Arial" w:hAnsi="Arial" w:cs="Arial"/>
          <w:sz w:val="24"/>
          <w:szCs w:val="24"/>
        </w:rPr>
        <w:t>ς μου.</w:t>
      </w:r>
    </w:p>
    <w:p w:rsidR="009B5564" w:rsidRPr="002F4BD7" w:rsidRDefault="00BC58CC" w:rsidP="00BC58CC">
      <w:pPr>
        <w:ind w:left="-426" w:right="-10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Πόλη: ..</w:t>
      </w:r>
      <w:r w:rsidR="009B5564">
        <w:rPr>
          <w:rFonts w:ascii="Arial" w:hAnsi="Arial" w:cs="Arial"/>
          <w:sz w:val="24"/>
          <w:szCs w:val="24"/>
        </w:rPr>
        <w:t>……………………….</w:t>
      </w:r>
      <w:r>
        <w:rPr>
          <w:rFonts w:ascii="Arial" w:hAnsi="Arial" w:cs="Arial"/>
          <w:sz w:val="24"/>
          <w:szCs w:val="24"/>
        </w:rPr>
        <w:t xml:space="preserve">                                         Ημερομηνία: ……………………….</w:t>
      </w:r>
    </w:p>
    <w:p w:rsidR="009B5564" w:rsidRPr="009F2B84" w:rsidRDefault="009B5564" w:rsidP="009B5564">
      <w:pPr>
        <w:ind w:left="-426" w:right="-1050"/>
        <w:jc w:val="both"/>
        <w:rPr>
          <w:rFonts w:ascii="Arial" w:hAnsi="Arial" w:cs="Arial"/>
          <w:b/>
          <w:sz w:val="24"/>
          <w:szCs w:val="24"/>
        </w:rPr>
      </w:pPr>
      <w:r w:rsidRPr="009F2B84">
        <w:rPr>
          <w:rFonts w:ascii="Arial" w:hAnsi="Arial" w:cs="Arial"/>
          <w:b/>
          <w:sz w:val="24"/>
          <w:szCs w:val="24"/>
        </w:rPr>
        <w:t>Ο / Η ΑΙΤΩΝ- ΟΥΣΑ</w:t>
      </w:r>
      <w:r w:rsidR="009F2B84" w:rsidRPr="009F2B84">
        <w:rPr>
          <w:rFonts w:ascii="Arial" w:hAnsi="Arial" w:cs="Arial"/>
          <w:b/>
          <w:sz w:val="24"/>
          <w:szCs w:val="24"/>
        </w:rPr>
        <w:t xml:space="preserve">                           </w:t>
      </w:r>
      <w:r w:rsidR="009F2B84">
        <w:rPr>
          <w:rFonts w:ascii="Arial" w:hAnsi="Arial" w:cs="Arial"/>
          <w:b/>
          <w:sz w:val="24"/>
          <w:szCs w:val="24"/>
        </w:rPr>
        <w:t xml:space="preserve">                              </w:t>
      </w:r>
      <w:r w:rsidR="009F2B84" w:rsidRPr="009F2B84">
        <w:rPr>
          <w:rFonts w:ascii="Arial" w:hAnsi="Arial" w:cs="Arial"/>
          <w:b/>
          <w:sz w:val="24"/>
          <w:szCs w:val="24"/>
        </w:rPr>
        <w:t xml:space="preserve">              ΘΕΩΡΗΣΗ ΥΠΟΓΡΑΦΗΣ</w:t>
      </w:r>
    </w:p>
    <w:p w:rsidR="002F4BD7" w:rsidRDefault="002F4BD7" w:rsidP="009B5564">
      <w:pPr>
        <w:ind w:left="-426" w:right="-1050"/>
        <w:jc w:val="both"/>
        <w:rPr>
          <w:rFonts w:ascii="Arial" w:hAnsi="Arial" w:cs="Arial"/>
          <w:sz w:val="24"/>
          <w:szCs w:val="24"/>
        </w:rPr>
      </w:pPr>
    </w:p>
    <w:p w:rsidR="002F4BD7" w:rsidRPr="002F4BD7" w:rsidRDefault="002F4BD7" w:rsidP="009B5564">
      <w:pPr>
        <w:ind w:left="-426" w:right="-1050"/>
        <w:jc w:val="both"/>
        <w:rPr>
          <w:rFonts w:ascii="Arial" w:hAnsi="Arial" w:cs="Arial"/>
          <w:sz w:val="24"/>
          <w:szCs w:val="24"/>
        </w:rPr>
      </w:pPr>
    </w:p>
    <w:p w:rsidR="00A07CD8" w:rsidRPr="009B5564" w:rsidRDefault="00A07CD8" w:rsidP="009B5564">
      <w:pPr>
        <w:rPr>
          <w:szCs w:val="24"/>
        </w:rPr>
      </w:pPr>
    </w:p>
    <w:sectPr w:rsidR="00A07CD8" w:rsidRPr="009B5564" w:rsidSect="00A07CD8">
      <w:pgSz w:w="11906" w:h="16838"/>
      <w:pgMar w:top="426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nstantia">
    <w:panose1 w:val="02030602050306030303"/>
    <w:charset w:val="A1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A7A6D"/>
    <w:multiLevelType w:val="hybridMultilevel"/>
    <w:tmpl w:val="16FE5A0E"/>
    <w:lvl w:ilvl="0" w:tplc="0408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>
    <w:nsid w:val="47D87E72"/>
    <w:multiLevelType w:val="hybridMultilevel"/>
    <w:tmpl w:val="64B614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427B1"/>
    <w:rsid w:val="00114755"/>
    <w:rsid w:val="0014517A"/>
    <w:rsid w:val="001B202A"/>
    <w:rsid w:val="001D13CF"/>
    <w:rsid w:val="0020420F"/>
    <w:rsid w:val="002F4BD7"/>
    <w:rsid w:val="00337A2C"/>
    <w:rsid w:val="00340F59"/>
    <w:rsid w:val="00345806"/>
    <w:rsid w:val="003E31B6"/>
    <w:rsid w:val="00431351"/>
    <w:rsid w:val="0047781F"/>
    <w:rsid w:val="004B0021"/>
    <w:rsid w:val="0053714B"/>
    <w:rsid w:val="007427B1"/>
    <w:rsid w:val="00765C64"/>
    <w:rsid w:val="007B5454"/>
    <w:rsid w:val="00864203"/>
    <w:rsid w:val="008673DF"/>
    <w:rsid w:val="009B5564"/>
    <w:rsid w:val="009F2B84"/>
    <w:rsid w:val="00A07CD8"/>
    <w:rsid w:val="00A25AFB"/>
    <w:rsid w:val="00A25E9A"/>
    <w:rsid w:val="00A32E3C"/>
    <w:rsid w:val="00BC58CC"/>
    <w:rsid w:val="00C63A21"/>
    <w:rsid w:val="00CE744A"/>
    <w:rsid w:val="00D4510B"/>
    <w:rsid w:val="00DB3735"/>
    <w:rsid w:val="00DE3CE1"/>
    <w:rsid w:val="00EB4E50"/>
    <w:rsid w:val="00EF3E7E"/>
    <w:rsid w:val="00F112E9"/>
    <w:rsid w:val="00F41D1A"/>
    <w:rsid w:val="00F53721"/>
    <w:rsid w:val="00FA4B8A"/>
    <w:rsid w:val="00FC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5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7427B1"/>
    <w:rPr>
      <w:rFonts w:ascii="Constantia" w:eastAsia="Constantia" w:hAnsi="Constantia" w:cs="Constantia"/>
      <w:shd w:val="clear" w:color="auto" w:fill="FFFFFF"/>
    </w:rPr>
  </w:style>
  <w:style w:type="paragraph" w:customStyle="1" w:styleId="Bodytext20">
    <w:name w:val="Body text (2)"/>
    <w:basedOn w:val="a"/>
    <w:link w:val="Bodytext2"/>
    <w:rsid w:val="007427B1"/>
    <w:pPr>
      <w:widowControl w:val="0"/>
      <w:shd w:val="clear" w:color="auto" w:fill="FFFFFF"/>
      <w:spacing w:after="420" w:line="504" w:lineRule="exact"/>
      <w:jc w:val="center"/>
    </w:pPr>
    <w:rPr>
      <w:rFonts w:ascii="Constantia" w:eastAsia="Constantia" w:hAnsi="Constantia" w:cs="Constantia"/>
    </w:rPr>
  </w:style>
  <w:style w:type="paragraph" w:styleId="a3">
    <w:name w:val="Balloon Text"/>
    <w:basedOn w:val="a"/>
    <w:link w:val="Char"/>
    <w:uiPriority w:val="99"/>
    <w:semiHidden/>
    <w:unhideWhenUsed/>
    <w:rsid w:val="00EF3E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F3E7E"/>
    <w:rPr>
      <w:rFonts w:ascii="Segoe UI" w:hAnsi="Segoe UI" w:cs="Segoe UI"/>
      <w:sz w:val="18"/>
      <w:szCs w:val="18"/>
    </w:rPr>
  </w:style>
  <w:style w:type="paragraph" w:styleId="a4">
    <w:name w:val="List Paragraph"/>
    <w:basedOn w:val="a"/>
    <w:uiPriority w:val="34"/>
    <w:qFormat/>
    <w:rsid w:val="00337A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55E31A-2FE6-45DD-A591-4A496ED1E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1014</Words>
  <Characters>5478</Characters>
  <Application>Microsoft Office Word</Application>
  <DocSecurity>0</DocSecurity>
  <Lines>45</Lines>
  <Paragraphs>12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Ageliki</dc:creator>
  <cp:lastModifiedBy>user</cp:lastModifiedBy>
  <cp:revision>12</cp:revision>
  <cp:lastPrinted>2018-09-13T09:45:00Z</cp:lastPrinted>
  <dcterms:created xsi:type="dcterms:W3CDTF">2018-09-14T09:19:00Z</dcterms:created>
  <dcterms:modified xsi:type="dcterms:W3CDTF">2018-09-14T21:20:00Z</dcterms:modified>
</cp:coreProperties>
</file>